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C600" w14:textId="77777777" w:rsidR="008512E3" w:rsidRDefault="008512E3" w:rsidP="008512E3">
      <w:pPr>
        <w:rPr>
          <w:b/>
        </w:rPr>
      </w:pPr>
      <w:r w:rsidRPr="006C7D6F">
        <w:rPr>
          <w:b/>
          <w:bCs/>
        </w:rPr>
        <w:t xml:space="preserve">Guidance on Green NOS as an addition to the Guide to Developing National Occupational Standards </w:t>
      </w:r>
    </w:p>
    <w:p w14:paraId="312DD780" w14:textId="77777777" w:rsidR="008512E3" w:rsidRPr="008073FE" w:rsidRDefault="008512E3" w:rsidP="008512E3">
      <w:pPr>
        <w:rPr>
          <w:b/>
          <w:bCs/>
          <w:lang w:val="en-US"/>
        </w:rPr>
      </w:pPr>
      <w:r w:rsidRPr="008073FE">
        <w:rPr>
          <w:b/>
          <w:bCs/>
          <w:lang w:val="en-US"/>
        </w:rPr>
        <w:t>Executive Summary</w:t>
      </w:r>
    </w:p>
    <w:p w14:paraId="46B119C0" w14:textId="77777777" w:rsidR="008512E3" w:rsidRPr="001A3201" w:rsidRDefault="008512E3" w:rsidP="008512E3">
      <w:pPr>
        <w:rPr>
          <w:lang w:val="en-US"/>
        </w:rPr>
      </w:pPr>
      <w:r w:rsidRPr="001A3201">
        <w:rPr>
          <w:lang w:val="en-US"/>
        </w:rPr>
        <w:t xml:space="preserve">This document provides guidance on </w:t>
      </w:r>
      <w:r>
        <w:rPr>
          <w:lang w:val="en-US"/>
        </w:rPr>
        <w:t xml:space="preserve">the approach to the </w:t>
      </w:r>
      <w:r w:rsidRPr="001A3201">
        <w:rPr>
          <w:lang w:val="en-US"/>
        </w:rPr>
        <w:t>review and development of Green NOS as an addition to the ‘Guide to Developing National Occupational Standards’ and other guidance documents.</w:t>
      </w:r>
    </w:p>
    <w:p w14:paraId="1335A2D6" w14:textId="77777777" w:rsidR="008512E3" w:rsidRDefault="008512E3" w:rsidP="008512E3">
      <w:pPr>
        <w:rPr>
          <w:b/>
          <w:lang w:val="en-US"/>
        </w:rPr>
      </w:pPr>
      <w:r w:rsidRPr="008073FE">
        <w:rPr>
          <w:b/>
          <w:bCs/>
          <w:lang w:val="en-US"/>
        </w:rPr>
        <w:t>Th</w:t>
      </w:r>
      <w:r>
        <w:rPr>
          <w:b/>
          <w:bCs/>
          <w:lang w:val="en-US"/>
        </w:rPr>
        <w:t xml:space="preserve">is </w:t>
      </w:r>
      <w:r w:rsidRPr="008073FE">
        <w:rPr>
          <w:b/>
          <w:bCs/>
          <w:lang w:val="en-US"/>
        </w:rPr>
        <w:t xml:space="preserve">Net Zero/Green NOS </w:t>
      </w:r>
      <w:proofErr w:type="gramStart"/>
      <w:r w:rsidRPr="008073FE">
        <w:rPr>
          <w:b/>
          <w:bCs/>
          <w:lang w:val="en-US"/>
        </w:rPr>
        <w:t>guidance</w:t>
      </w:r>
      <w:proofErr w:type="gramEnd"/>
      <w:r w:rsidRPr="008073FE">
        <w:rPr>
          <w:b/>
          <w:bCs/>
          <w:lang w:val="en-US"/>
        </w:rPr>
        <w:t xml:space="preserve"> w</w:t>
      </w:r>
      <w:r>
        <w:rPr>
          <w:b/>
          <w:bCs/>
          <w:lang w:val="en-US"/>
        </w:rPr>
        <w:t>i</w:t>
      </w:r>
      <w:r w:rsidRPr="008073FE">
        <w:rPr>
          <w:b/>
          <w:bCs/>
          <w:lang w:val="en-US"/>
        </w:rPr>
        <w:t>ll outline:</w:t>
      </w:r>
    </w:p>
    <w:p w14:paraId="0BB4952E" w14:textId="77777777" w:rsidR="008512E3" w:rsidRPr="007F0649" w:rsidRDefault="008512E3" w:rsidP="008512E3">
      <w:pPr>
        <w:pStyle w:val="ListParagraph"/>
        <w:numPr>
          <w:ilvl w:val="0"/>
          <w:numId w:val="4"/>
        </w:numPr>
        <w:ind w:left="360"/>
        <w:rPr>
          <w:b/>
          <w:bCs/>
        </w:rPr>
      </w:pPr>
      <w:r w:rsidRPr="4BEAC6B3">
        <w:rPr>
          <w:b/>
          <w:bCs/>
        </w:rPr>
        <w:t>The growing prominence of the green agenda</w:t>
      </w:r>
    </w:p>
    <w:p w14:paraId="29CBCA59" w14:textId="77777777" w:rsidR="008512E3" w:rsidRDefault="008512E3" w:rsidP="008512E3">
      <w:pPr>
        <w:rPr>
          <w:rFonts w:eastAsiaTheme="minorEastAsia"/>
        </w:rPr>
      </w:pPr>
      <w:r w:rsidRPr="4BEAC6B3">
        <w:rPr>
          <w:rFonts w:eastAsiaTheme="minorEastAsia"/>
        </w:rPr>
        <w:t>In 2019, the UK Government established a legally binding target, committing to reducing greenhouse gas emissions to net zero by 2050. The green agenda – consideration for the environment and for the impacts of human activity on climate change – has grown and now influences all areas of policy.</w:t>
      </w:r>
    </w:p>
    <w:p w14:paraId="0A1E7A7F" w14:textId="77777777" w:rsidR="008512E3" w:rsidRDefault="008512E3" w:rsidP="008512E3">
      <w:pPr>
        <w:pStyle w:val="ListParagraph"/>
        <w:numPr>
          <w:ilvl w:val="0"/>
          <w:numId w:val="4"/>
        </w:numPr>
        <w:ind w:left="360"/>
        <w:rPr>
          <w:b/>
          <w:bCs/>
        </w:rPr>
      </w:pPr>
      <w:r w:rsidRPr="4BEAC6B3">
        <w:rPr>
          <w:b/>
          <w:bCs/>
        </w:rPr>
        <w:t xml:space="preserve">A “NOS” definition of Net Zero/Green </w:t>
      </w:r>
    </w:p>
    <w:p w14:paraId="4E4E1C86" w14:textId="77777777" w:rsidR="008512E3" w:rsidRDefault="008512E3" w:rsidP="008512E3">
      <w:r w:rsidRPr="4BEAC6B3">
        <w:rPr>
          <w:rFonts w:eastAsiaTheme="minorEastAsia"/>
        </w:rPr>
        <w:t xml:space="preserve">National Occupational Standards are important for their definition of work activities. Occupational activities will change as they evolve to support decarbonisation. A “NOS” definition of Net Zero/Green will provide </w:t>
      </w:r>
      <w:proofErr w:type="gramStart"/>
      <w:r w:rsidRPr="4BEAC6B3">
        <w:rPr>
          <w:rFonts w:eastAsiaTheme="minorEastAsia"/>
        </w:rPr>
        <w:t>coherence</w:t>
      </w:r>
      <w:r>
        <w:rPr>
          <w:rFonts w:eastAsiaTheme="minorEastAsia"/>
        </w:rPr>
        <w:t>, and</w:t>
      </w:r>
      <w:proofErr w:type="gramEnd"/>
      <w:r>
        <w:rPr>
          <w:rFonts w:eastAsiaTheme="minorEastAsia"/>
        </w:rPr>
        <w:t xml:space="preserve"> uses the UK Office for National Statistics definition as </w:t>
      </w:r>
      <w:r>
        <w:t>“Employment in an activity that contributes to protecting or restoring the environment, including those that mitigate or adapt to climate change.”</w:t>
      </w:r>
    </w:p>
    <w:p w14:paraId="25A917F9" w14:textId="77777777" w:rsidR="008512E3" w:rsidRDefault="008512E3" w:rsidP="008512E3">
      <w:pPr>
        <w:pStyle w:val="ListParagraph"/>
        <w:numPr>
          <w:ilvl w:val="0"/>
          <w:numId w:val="4"/>
        </w:numPr>
        <w:ind w:left="360"/>
        <w:rPr>
          <w:b/>
          <w:bCs/>
        </w:rPr>
      </w:pPr>
      <w:r w:rsidRPr="40FBD14E">
        <w:rPr>
          <w:b/>
          <w:bCs/>
        </w:rPr>
        <w:t>Identified/listed green jobs/occupations</w:t>
      </w:r>
    </w:p>
    <w:p w14:paraId="63097662" w14:textId="77777777" w:rsidR="008512E3" w:rsidRDefault="008512E3" w:rsidP="008512E3">
      <w:pPr>
        <w:spacing w:line="276" w:lineRule="auto"/>
        <w:rPr>
          <w:rFonts w:ascii="Aptos" w:eastAsia="Aptos" w:hAnsi="Aptos" w:cs="Aptos"/>
        </w:rPr>
      </w:pPr>
      <w:r w:rsidRPr="40FBD14E">
        <w:rPr>
          <w:rFonts w:ascii="Aptos" w:eastAsia="Aptos" w:hAnsi="Aptos" w:cs="Aptos"/>
        </w:rPr>
        <w:t>The increasing numbers of new jobs or occupations that are evolving in response to the green agenda, mean that increasing numbers of ‘green’ suites of standards are being developed.  Of the 18 suites identified on the National Occupational Standards Database during Autumn 2024</w:t>
      </w:r>
      <w:r>
        <w:rPr>
          <w:rFonts w:ascii="Aptos" w:eastAsia="Aptos" w:hAnsi="Aptos" w:cs="Aptos"/>
        </w:rPr>
        <w:t>:</w:t>
      </w:r>
    </w:p>
    <w:p w14:paraId="7D0F8003" w14:textId="77777777" w:rsidR="008512E3" w:rsidRPr="009B4FBB" w:rsidRDefault="008512E3" w:rsidP="008512E3">
      <w:pPr>
        <w:pStyle w:val="ListParagraph"/>
        <w:numPr>
          <w:ilvl w:val="0"/>
          <w:numId w:val="5"/>
        </w:numPr>
        <w:spacing w:line="276" w:lineRule="auto"/>
      </w:pPr>
      <w:r w:rsidRPr="009B4FBB">
        <w:rPr>
          <w:rFonts w:ascii="Aptos" w:eastAsia="Aptos" w:hAnsi="Aptos" w:cs="Aptos"/>
        </w:rPr>
        <w:t xml:space="preserve">8 relate to assessing and advising on energy use and promoting green options, </w:t>
      </w:r>
    </w:p>
    <w:p w14:paraId="56AF014D" w14:textId="77777777" w:rsidR="008512E3" w:rsidRPr="009B4FBB" w:rsidRDefault="008512E3" w:rsidP="008512E3">
      <w:pPr>
        <w:pStyle w:val="ListParagraph"/>
        <w:numPr>
          <w:ilvl w:val="0"/>
          <w:numId w:val="5"/>
        </w:numPr>
        <w:spacing w:line="276" w:lineRule="auto"/>
      </w:pPr>
      <w:r w:rsidRPr="009B4FBB">
        <w:rPr>
          <w:rFonts w:ascii="Aptos" w:eastAsia="Aptos" w:hAnsi="Aptos" w:cs="Aptos"/>
        </w:rPr>
        <w:t>6 relate to installing, producing and maintaining green energy systems and infrastructure</w:t>
      </w:r>
    </w:p>
    <w:p w14:paraId="12D1DDE3" w14:textId="77777777" w:rsidR="008512E3" w:rsidRPr="004E53F7" w:rsidRDefault="008512E3" w:rsidP="008512E3">
      <w:pPr>
        <w:pStyle w:val="ListParagraph"/>
        <w:numPr>
          <w:ilvl w:val="0"/>
          <w:numId w:val="5"/>
        </w:numPr>
        <w:spacing w:line="276" w:lineRule="auto"/>
      </w:pPr>
      <w:r>
        <w:rPr>
          <w:rFonts w:ascii="Aptos" w:eastAsia="Aptos" w:hAnsi="Aptos" w:cs="Aptos"/>
        </w:rPr>
        <w:t xml:space="preserve">The </w:t>
      </w:r>
      <w:r w:rsidRPr="009B4FBB">
        <w:rPr>
          <w:rFonts w:ascii="Aptos" w:eastAsia="Aptos" w:hAnsi="Aptos" w:cs="Aptos"/>
        </w:rPr>
        <w:t xml:space="preserve">remaining 4 relate to Environmental Conservation, Sustainable Manufacturing and Managing Organisational Environmental Performance. </w:t>
      </w:r>
    </w:p>
    <w:p w14:paraId="183A0B0F" w14:textId="77777777" w:rsidR="008512E3" w:rsidRDefault="008512E3" w:rsidP="008512E3">
      <w:pPr>
        <w:spacing w:line="276" w:lineRule="auto"/>
      </w:pPr>
      <w:r w:rsidRPr="004E53F7">
        <w:rPr>
          <w:rFonts w:ascii="Aptos" w:eastAsia="Aptos" w:hAnsi="Aptos" w:cs="Aptos"/>
        </w:rPr>
        <w:t xml:space="preserve">The suite titles and SOC codes are listed in the main body of the </w:t>
      </w:r>
      <w:r>
        <w:rPr>
          <w:rFonts w:ascii="Aptos" w:eastAsia="Aptos" w:hAnsi="Aptos" w:cs="Aptos"/>
        </w:rPr>
        <w:t>Guidance</w:t>
      </w:r>
      <w:r w:rsidRPr="004E53F7">
        <w:rPr>
          <w:rFonts w:ascii="Aptos" w:eastAsia="Aptos" w:hAnsi="Aptos" w:cs="Aptos"/>
        </w:rPr>
        <w:t>.</w:t>
      </w:r>
    </w:p>
    <w:p w14:paraId="05C6FDC4" w14:textId="77777777" w:rsidR="008512E3" w:rsidRDefault="008512E3" w:rsidP="008512E3">
      <w:pPr>
        <w:pStyle w:val="ListParagraph"/>
        <w:numPr>
          <w:ilvl w:val="0"/>
          <w:numId w:val="4"/>
        </w:numPr>
        <w:ind w:left="360"/>
        <w:rPr>
          <w:b/>
          <w:bCs/>
        </w:rPr>
      </w:pPr>
      <w:r w:rsidRPr="40FBD14E">
        <w:rPr>
          <w:b/>
          <w:bCs/>
        </w:rPr>
        <w:t>Promote the existing full NOS Suites for “Green Jobs/Occupations”</w:t>
      </w:r>
    </w:p>
    <w:p w14:paraId="3E020E56" w14:textId="77777777" w:rsidR="008512E3" w:rsidRDefault="008512E3" w:rsidP="008512E3">
      <w:pPr>
        <w:spacing w:line="276" w:lineRule="auto"/>
      </w:pPr>
      <w:r w:rsidRPr="40FBD14E">
        <w:rPr>
          <w:rFonts w:ascii="Aptos" w:eastAsia="Aptos" w:hAnsi="Aptos" w:cs="Aptos"/>
          <w:lang w:val="en-US"/>
        </w:rPr>
        <w:t xml:space="preserve">While most of these </w:t>
      </w:r>
      <w:proofErr w:type="gramStart"/>
      <w:r w:rsidRPr="40FBD14E">
        <w:rPr>
          <w:rFonts w:ascii="Aptos" w:eastAsia="Aptos" w:hAnsi="Aptos" w:cs="Aptos"/>
          <w:lang w:val="en-US"/>
        </w:rPr>
        <w:t>suites</w:t>
      </w:r>
      <w:proofErr w:type="gramEnd"/>
      <w:r w:rsidRPr="40FBD14E">
        <w:rPr>
          <w:rFonts w:ascii="Aptos" w:eastAsia="Aptos" w:hAnsi="Aptos" w:cs="Aptos"/>
          <w:lang w:val="en-US"/>
        </w:rPr>
        <w:t xml:space="preserve"> of standards will have little or no relevance to non-related sectors, those</w:t>
      </w:r>
      <w:r w:rsidRPr="40FBD14E">
        <w:rPr>
          <w:rFonts w:ascii="Aptos" w:eastAsia="Aptos" w:hAnsi="Aptos" w:cs="Aptos"/>
        </w:rPr>
        <w:t xml:space="preserve"> such as Sustainable Food Production and Organisational Environmental Awareness and Management, may provide a useful starting point for other sectors when developing standards for newly evolving green jobs.  </w:t>
      </w:r>
    </w:p>
    <w:p w14:paraId="6FECD3AE" w14:textId="77777777" w:rsidR="008512E3" w:rsidRDefault="008512E3" w:rsidP="008512E3">
      <w:pPr>
        <w:pStyle w:val="ListParagraph"/>
        <w:numPr>
          <w:ilvl w:val="0"/>
          <w:numId w:val="4"/>
        </w:numPr>
        <w:ind w:left="360"/>
        <w:rPr>
          <w:b/>
          <w:bCs/>
        </w:rPr>
      </w:pPr>
      <w:r>
        <w:rPr>
          <w:b/>
          <w:bCs/>
        </w:rPr>
        <w:lastRenderedPageBreak/>
        <w:t>I</w:t>
      </w:r>
      <w:r w:rsidRPr="007F0649">
        <w:rPr>
          <w:b/>
          <w:bCs/>
        </w:rPr>
        <w:t>mportance of identifying transferable green skills within non-green jobs/occupations</w:t>
      </w:r>
    </w:p>
    <w:p w14:paraId="6B819D44" w14:textId="77777777" w:rsidR="008512E3" w:rsidRPr="00083264" w:rsidRDefault="008512E3" w:rsidP="008512E3">
      <w:pPr>
        <w:rPr>
          <w:rFonts w:eastAsiaTheme="minorEastAsia"/>
        </w:rPr>
      </w:pPr>
      <w:r w:rsidRPr="03427A21">
        <w:rPr>
          <w:rFonts w:eastAsiaTheme="minorEastAsia"/>
        </w:rPr>
        <w:t xml:space="preserve">Demographics, time-to-competence, and the competitive nature of talent attraction mean that programs to re-skill and up-skill existing staff will be particularly important in the green </w:t>
      </w:r>
      <w:proofErr w:type="gramStart"/>
      <w:r w:rsidRPr="03427A21">
        <w:rPr>
          <w:rFonts w:eastAsiaTheme="minorEastAsia"/>
        </w:rPr>
        <w:t>jobs</w:t>
      </w:r>
      <w:proofErr w:type="gramEnd"/>
      <w:r w:rsidRPr="03427A21">
        <w:rPr>
          <w:rFonts w:eastAsiaTheme="minorEastAsia"/>
        </w:rPr>
        <w:t xml:space="preserve"> agenda. Identifying individuals’ existing transferable green skills will be key to the sufficient supply of the competent workers that Net Zero needs.</w:t>
      </w:r>
    </w:p>
    <w:p w14:paraId="667B18A3" w14:textId="77777777" w:rsidR="008512E3" w:rsidRDefault="008512E3" w:rsidP="008512E3">
      <w:pPr>
        <w:pStyle w:val="ListParagraph"/>
        <w:numPr>
          <w:ilvl w:val="0"/>
          <w:numId w:val="4"/>
        </w:numPr>
        <w:ind w:left="360"/>
        <w:rPr>
          <w:b/>
          <w:bCs/>
        </w:rPr>
      </w:pPr>
      <w:r w:rsidRPr="40FBD14E">
        <w:rPr>
          <w:b/>
          <w:bCs/>
        </w:rPr>
        <w:t>Grouping together/adaptation of existing transferable green/environmental skills NOS</w:t>
      </w:r>
    </w:p>
    <w:p w14:paraId="1B6D0474" w14:textId="77777777" w:rsidR="008512E3" w:rsidRDefault="008512E3" w:rsidP="008512E3">
      <w:pPr>
        <w:spacing w:after="0"/>
      </w:pPr>
      <w:r w:rsidRPr="40FBD14E">
        <w:rPr>
          <w:rFonts w:ascii="Aptos" w:eastAsia="Aptos" w:hAnsi="Aptos" w:cs="Aptos"/>
          <w:lang w:val="en-US"/>
        </w:rPr>
        <w:t xml:space="preserve">The new NOS Development Model aims to reduce </w:t>
      </w:r>
      <w:r>
        <w:rPr>
          <w:rFonts w:ascii="Aptos" w:eastAsia="Aptos" w:hAnsi="Aptos" w:cs="Aptos"/>
          <w:lang w:val="en-US"/>
        </w:rPr>
        <w:t xml:space="preserve">the </w:t>
      </w:r>
      <w:r w:rsidRPr="40FBD14E">
        <w:rPr>
          <w:rFonts w:ascii="Aptos" w:eastAsia="Aptos" w:hAnsi="Aptos" w:cs="Aptos"/>
          <w:lang w:val="en-US"/>
        </w:rPr>
        <w:t>proliferation of ‘green’ standards and improve the robustness of ‘green’ standards content by</w:t>
      </w:r>
      <w:r>
        <w:rPr>
          <w:rFonts w:ascii="Aptos" w:eastAsia="Aptos" w:hAnsi="Aptos" w:cs="Aptos"/>
          <w:lang w:val="en-US"/>
        </w:rPr>
        <w:t>:</w:t>
      </w:r>
    </w:p>
    <w:p w14:paraId="40508472" w14:textId="77777777" w:rsidR="008512E3" w:rsidRDefault="008512E3" w:rsidP="008512E3">
      <w:pPr>
        <w:pStyle w:val="ListParagraph"/>
        <w:numPr>
          <w:ilvl w:val="0"/>
          <w:numId w:val="3"/>
        </w:numPr>
        <w:spacing w:after="0"/>
        <w:rPr>
          <w:rFonts w:ascii="Aptos" w:eastAsia="Aptos" w:hAnsi="Aptos" w:cs="Aptos"/>
        </w:rPr>
      </w:pPr>
      <w:r w:rsidRPr="40FBD14E">
        <w:rPr>
          <w:rFonts w:ascii="Aptos" w:eastAsia="Aptos" w:hAnsi="Aptos" w:cs="Aptos"/>
          <w:lang w:val="en-US"/>
        </w:rPr>
        <w:t>Creating some transferable, pan or multi sector ‘green’ standards.</w:t>
      </w:r>
      <w:r w:rsidRPr="40FBD14E">
        <w:rPr>
          <w:rFonts w:ascii="Aptos" w:eastAsia="Aptos" w:hAnsi="Aptos" w:cs="Aptos"/>
        </w:rPr>
        <w:t xml:space="preserve"> </w:t>
      </w:r>
    </w:p>
    <w:p w14:paraId="6BF5ECFE" w14:textId="77777777" w:rsidR="008512E3" w:rsidRDefault="008512E3" w:rsidP="008512E3">
      <w:pPr>
        <w:pStyle w:val="ListParagraph"/>
        <w:numPr>
          <w:ilvl w:val="0"/>
          <w:numId w:val="2"/>
        </w:numPr>
        <w:spacing w:after="0"/>
        <w:rPr>
          <w:rFonts w:ascii="Aptos" w:eastAsia="Aptos" w:hAnsi="Aptos" w:cs="Aptos"/>
        </w:rPr>
      </w:pPr>
      <w:r w:rsidRPr="40FBD14E">
        <w:rPr>
          <w:rFonts w:ascii="Aptos" w:eastAsia="Aptos" w:hAnsi="Aptos" w:cs="Aptos"/>
          <w:lang w:val="en-US"/>
        </w:rPr>
        <w:t>Creating a ‘green’ area on the National Occupational Standards database to group together ‘green’ standards.</w:t>
      </w:r>
      <w:r w:rsidRPr="40FBD14E">
        <w:rPr>
          <w:rFonts w:ascii="Aptos" w:eastAsia="Aptos" w:hAnsi="Aptos" w:cs="Aptos"/>
        </w:rPr>
        <w:t xml:space="preserve"> </w:t>
      </w:r>
    </w:p>
    <w:p w14:paraId="5491B579" w14:textId="77777777" w:rsidR="008512E3" w:rsidRDefault="008512E3" w:rsidP="008512E3">
      <w:pPr>
        <w:pStyle w:val="ListParagraph"/>
        <w:numPr>
          <w:ilvl w:val="0"/>
          <w:numId w:val="1"/>
        </w:numPr>
        <w:spacing w:after="0"/>
        <w:rPr>
          <w:rFonts w:ascii="Aptos" w:eastAsia="Aptos" w:hAnsi="Aptos" w:cs="Aptos"/>
        </w:rPr>
      </w:pPr>
      <w:r w:rsidRPr="40FBD14E">
        <w:rPr>
          <w:rFonts w:ascii="Aptos" w:eastAsia="Aptos" w:hAnsi="Aptos" w:cs="Aptos"/>
          <w:lang w:val="en-US"/>
        </w:rPr>
        <w:t xml:space="preserve">Producing some </w:t>
      </w:r>
      <w:r w:rsidRPr="40FBD14E">
        <w:rPr>
          <w:rFonts w:ascii="Aptos" w:eastAsia="Aptos" w:hAnsi="Aptos" w:cs="Aptos"/>
        </w:rPr>
        <w:t>‘green’ performance criteria and knowledge statements for use in non</w:t>
      </w:r>
      <w:proofErr w:type="gramStart"/>
      <w:r w:rsidRPr="40FBD14E">
        <w:rPr>
          <w:rFonts w:ascii="Aptos" w:eastAsia="Aptos" w:hAnsi="Aptos" w:cs="Aptos"/>
        </w:rPr>
        <w:t>-‘</w:t>
      </w:r>
      <w:proofErr w:type="gramEnd"/>
      <w:r w:rsidRPr="40FBD14E">
        <w:rPr>
          <w:rFonts w:ascii="Aptos" w:eastAsia="Aptos" w:hAnsi="Aptos" w:cs="Aptos"/>
        </w:rPr>
        <w:t xml:space="preserve">green’ standards. </w:t>
      </w:r>
    </w:p>
    <w:p w14:paraId="74EBBDB1" w14:textId="77777777" w:rsidR="008512E3" w:rsidRPr="007F0649" w:rsidRDefault="008512E3" w:rsidP="008512E3">
      <w:pPr>
        <w:pStyle w:val="ListParagraph"/>
        <w:numPr>
          <w:ilvl w:val="0"/>
          <w:numId w:val="4"/>
        </w:numPr>
        <w:ind w:left="360"/>
        <w:rPr>
          <w:b/>
          <w:bCs/>
        </w:rPr>
      </w:pPr>
      <w:r>
        <w:rPr>
          <w:b/>
          <w:bCs/>
        </w:rPr>
        <w:t>B</w:t>
      </w:r>
      <w:r w:rsidRPr="40FBD14E">
        <w:rPr>
          <w:b/>
          <w:bCs/>
        </w:rPr>
        <w:t>enefits of using and availability of job-specific, sector-specific, and multi-sector NOS on the database</w:t>
      </w:r>
    </w:p>
    <w:p w14:paraId="12D92E3B" w14:textId="77777777" w:rsidR="008512E3" w:rsidRDefault="008512E3" w:rsidP="008512E3">
      <w:pPr>
        <w:spacing w:line="276" w:lineRule="auto"/>
      </w:pPr>
      <w:r w:rsidRPr="40FBD14E">
        <w:rPr>
          <w:rFonts w:ascii="Aptos" w:eastAsia="Aptos" w:hAnsi="Aptos" w:cs="Aptos"/>
        </w:rPr>
        <w:t xml:space="preserve">With the growing focus on the importance of green issues, sector representatives should consider the impact of the green agenda on sector practice and ensure that green issues are robustly represented in their sector’s standards.  As part of this process, they will need to consider the existing ‘green’ standards currently available on the National Occupational Standards Database. </w:t>
      </w:r>
    </w:p>
    <w:p w14:paraId="30CF5BE3" w14:textId="77777777" w:rsidR="008512E3" w:rsidRPr="002026E4" w:rsidRDefault="008512E3" w:rsidP="008512E3">
      <w:pPr>
        <w:spacing w:line="276" w:lineRule="auto"/>
      </w:pPr>
      <w:r w:rsidRPr="40FBD14E">
        <w:rPr>
          <w:rFonts w:ascii="Aptos" w:eastAsia="Aptos" w:hAnsi="Aptos" w:cs="Aptos"/>
          <w:lang w:val="en-US"/>
        </w:rPr>
        <w:t>As well as the ‘green’ suites of standards mentioned above</w:t>
      </w:r>
      <w:r>
        <w:rPr>
          <w:rFonts w:ascii="Aptos" w:eastAsia="Aptos" w:hAnsi="Aptos" w:cs="Aptos"/>
          <w:lang w:val="en-US"/>
        </w:rPr>
        <w:t xml:space="preserve"> </w:t>
      </w:r>
      <w:r w:rsidRPr="002026E4">
        <w:rPr>
          <w:rFonts w:ascii="Aptos" w:eastAsia="Aptos" w:hAnsi="Aptos" w:cs="Aptos"/>
          <w:lang w:val="en-US"/>
        </w:rPr>
        <w:t>151 individual standards from non-’green’ suites, but with ‘green’ wording at title level were also identified</w:t>
      </w:r>
      <w:r>
        <w:rPr>
          <w:rFonts w:ascii="Aptos" w:eastAsia="Aptos" w:hAnsi="Aptos" w:cs="Aptos"/>
          <w:lang w:val="en-US"/>
        </w:rPr>
        <w:t>:</w:t>
      </w:r>
    </w:p>
    <w:p w14:paraId="1E04CDC3" w14:textId="77777777" w:rsidR="008512E3" w:rsidRPr="002026E4" w:rsidRDefault="008512E3" w:rsidP="008512E3">
      <w:pPr>
        <w:pStyle w:val="ListParagraph"/>
        <w:numPr>
          <w:ilvl w:val="0"/>
          <w:numId w:val="6"/>
        </w:numPr>
        <w:spacing w:line="276" w:lineRule="auto"/>
      </w:pPr>
      <w:r w:rsidRPr="002026E4">
        <w:rPr>
          <w:rFonts w:ascii="Aptos" w:eastAsia="Aptos" w:hAnsi="Aptos" w:cs="Aptos"/>
          <w:lang w:val="en-US"/>
        </w:rPr>
        <w:t xml:space="preserve">54 of these relate to minimising own environmental impact, </w:t>
      </w:r>
    </w:p>
    <w:p w14:paraId="39567174" w14:textId="77777777" w:rsidR="008512E3" w:rsidRPr="002026E4" w:rsidRDefault="008512E3" w:rsidP="008512E3">
      <w:pPr>
        <w:pStyle w:val="ListParagraph"/>
        <w:numPr>
          <w:ilvl w:val="0"/>
          <w:numId w:val="6"/>
        </w:numPr>
        <w:spacing w:line="276" w:lineRule="auto"/>
      </w:pPr>
      <w:r w:rsidRPr="002026E4">
        <w:rPr>
          <w:rFonts w:ascii="Aptos" w:eastAsia="Aptos" w:hAnsi="Aptos" w:cs="Aptos"/>
          <w:lang w:val="en-US"/>
        </w:rPr>
        <w:t xml:space="preserve">44 relate to managing the environmental performance of an organisation, </w:t>
      </w:r>
    </w:p>
    <w:p w14:paraId="444B5126" w14:textId="77777777" w:rsidR="008512E3" w:rsidRPr="002026E4" w:rsidRDefault="008512E3" w:rsidP="008512E3">
      <w:pPr>
        <w:pStyle w:val="ListParagraph"/>
        <w:numPr>
          <w:ilvl w:val="0"/>
          <w:numId w:val="6"/>
        </w:numPr>
        <w:spacing w:line="276" w:lineRule="auto"/>
      </w:pPr>
      <w:r w:rsidRPr="002026E4">
        <w:rPr>
          <w:rFonts w:ascii="Aptos" w:eastAsia="Aptos" w:hAnsi="Aptos" w:cs="Aptos"/>
          <w:lang w:val="en-US"/>
        </w:rPr>
        <w:t xml:space="preserve">19 relate to evaluating environmental impact, </w:t>
      </w:r>
    </w:p>
    <w:p w14:paraId="1874E8C3" w14:textId="77777777" w:rsidR="008512E3" w:rsidRPr="00AF16AD" w:rsidRDefault="008512E3" w:rsidP="008512E3">
      <w:pPr>
        <w:pStyle w:val="ListParagraph"/>
        <w:numPr>
          <w:ilvl w:val="0"/>
          <w:numId w:val="6"/>
        </w:numPr>
        <w:spacing w:line="276" w:lineRule="auto"/>
      </w:pPr>
      <w:r w:rsidRPr="002026E4">
        <w:rPr>
          <w:rFonts w:ascii="Aptos" w:eastAsia="Aptos" w:hAnsi="Aptos" w:cs="Aptos"/>
          <w:lang w:val="en-US"/>
        </w:rPr>
        <w:t xml:space="preserve">17 to </w:t>
      </w:r>
      <w:proofErr w:type="gramStart"/>
      <w:r w:rsidRPr="002026E4">
        <w:rPr>
          <w:rFonts w:ascii="Aptos" w:eastAsia="Aptos" w:hAnsi="Aptos" w:cs="Aptos"/>
          <w:lang w:val="en-US"/>
        </w:rPr>
        <w:t>installing</w:t>
      </w:r>
      <w:proofErr w:type="gramEnd"/>
      <w:r w:rsidRPr="002026E4">
        <w:rPr>
          <w:rFonts w:ascii="Aptos" w:eastAsia="Aptos" w:hAnsi="Aptos" w:cs="Aptos"/>
          <w:lang w:val="en-US"/>
        </w:rPr>
        <w:t xml:space="preserve">, </w:t>
      </w:r>
      <w:proofErr w:type="gramStart"/>
      <w:r w:rsidRPr="002026E4">
        <w:rPr>
          <w:rFonts w:ascii="Aptos" w:eastAsia="Aptos" w:hAnsi="Aptos" w:cs="Aptos"/>
          <w:lang w:val="en-US"/>
        </w:rPr>
        <w:t>producing</w:t>
      </w:r>
      <w:proofErr w:type="gramEnd"/>
      <w:r w:rsidRPr="002026E4">
        <w:rPr>
          <w:rFonts w:ascii="Aptos" w:eastAsia="Aptos" w:hAnsi="Aptos" w:cs="Aptos"/>
          <w:lang w:val="en-US"/>
        </w:rPr>
        <w:t xml:space="preserve"> and </w:t>
      </w:r>
      <w:proofErr w:type="gramStart"/>
      <w:r w:rsidRPr="002026E4">
        <w:rPr>
          <w:rFonts w:ascii="Aptos" w:eastAsia="Aptos" w:hAnsi="Aptos" w:cs="Aptos"/>
          <w:lang w:val="en-US"/>
        </w:rPr>
        <w:t>maintaining</w:t>
      </w:r>
      <w:proofErr w:type="gramEnd"/>
      <w:r w:rsidRPr="002026E4">
        <w:rPr>
          <w:rFonts w:ascii="Aptos" w:eastAsia="Aptos" w:hAnsi="Aptos" w:cs="Aptos"/>
          <w:lang w:val="en-US"/>
        </w:rPr>
        <w:t xml:space="preserve"> green energy systems and infrastructure</w:t>
      </w:r>
      <w:r>
        <w:rPr>
          <w:rFonts w:ascii="Aptos" w:eastAsia="Aptos" w:hAnsi="Aptos" w:cs="Aptos"/>
          <w:lang w:val="en-US"/>
        </w:rPr>
        <w:t xml:space="preserve">, </w:t>
      </w:r>
    </w:p>
    <w:p w14:paraId="58123F07" w14:textId="77777777" w:rsidR="008512E3" w:rsidRDefault="008512E3" w:rsidP="008512E3">
      <w:pPr>
        <w:pStyle w:val="ListParagraph"/>
        <w:numPr>
          <w:ilvl w:val="0"/>
          <w:numId w:val="6"/>
        </w:numPr>
        <w:spacing w:line="276" w:lineRule="auto"/>
      </w:pPr>
      <w:r>
        <w:rPr>
          <w:rFonts w:ascii="Aptos" w:eastAsia="Aptos" w:hAnsi="Aptos" w:cs="Aptos"/>
          <w:lang w:val="en-US"/>
        </w:rPr>
        <w:t>T</w:t>
      </w:r>
      <w:r w:rsidRPr="002026E4">
        <w:rPr>
          <w:rFonts w:ascii="Aptos" w:eastAsia="Aptos" w:hAnsi="Aptos" w:cs="Aptos"/>
          <w:lang w:val="en-US"/>
        </w:rPr>
        <w:t xml:space="preserve">he remainder </w:t>
      </w:r>
      <w:proofErr w:type="gramStart"/>
      <w:r>
        <w:rPr>
          <w:rFonts w:ascii="Aptos" w:eastAsia="Aptos" w:hAnsi="Aptos" w:cs="Aptos"/>
          <w:lang w:val="en-US"/>
        </w:rPr>
        <w:t>relate</w:t>
      </w:r>
      <w:proofErr w:type="gramEnd"/>
      <w:r>
        <w:rPr>
          <w:rFonts w:ascii="Aptos" w:eastAsia="Aptos" w:hAnsi="Aptos" w:cs="Aptos"/>
          <w:lang w:val="en-US"/>
        </w:rPr>
        <w:t xml:space="preserve"> </w:t>
      </w:r>
      <w:r w:rsidRPr="002026E4">
        <w:rPr>
          <w:rFonts w:ascii="Aptos" w:eastAsia="Aptos" w:hAnsi="Aptos" w:cs="Aptos"/>
          <w:lang w:val="en-US"/>
        </w:rPr>
        <w:t xml:space="preserve">to a mixture of other themes which are detailed in the </w:t>
      </w:r>
      <w:proofErr w:type="gramStart"/>
      <w:r>
        <w:rPr>
          <w:rFonts w:ascii="Aptos" w:eastAsia="Aptos" w:hAnsi="Aptos" w:cs="Aptos"/>
          <w:lang w:val="en-US"/>
        </w:rPr>
        <w:t>guidance</w:t>
      </w:r>
      <w:proofErr w:type="gramEnd"/>
      <w:r w:rsidRPr="002026E4">
        <w:rPr>
          <w:rFonts w:ascii="Aptos" w:eastAsia="Aptos" w:hAnsi="Aptos" w:cs="Aptos"/>
          <w:lang w:val="en-US"/>
        </w:rPr>
        <w:t xml:space="preserve">.  </w:t>
      </w:r>
    </w:p>
    <w:p w14:paraId="4F08E69A" w14:textId="77777777" w:rsidR="008512E3" w:rsidRDefault="008512E3" w:rsidP="008512E3">
      <w:pPr>
        <w:spacing w:line="276" w:lineRule="auto"/>
      </w:pPr>
      <w:r w:rsidRPr="40FBD14E">
        <w:rPr>
          <w:rFonts w:ascii="Aptos" w:eastAsia="Aptos" w:hAnsi="Aptos" w:cs="Aptos"/>
        </w:rPr>
        <w:t>Of these 151 standards, 56 have a discrete ‘green’ function while 95 integrate it with another function. 43, for example, integrate it with health and safety. Whilst this dual function ensures that green practice is integrated within all aspects of workplace practice, in many cases, the ‘green’ content is not in proportion to its prominence at title level and is not robust. To avoid proliferation of non-robust ‘‘green’’ content, potential imports should be chosen with care.</w:t>
      </w:r>
    </w:p>
    <w:p w14:paraId="238393D7" w14:textId="77777777" w:rsidR="008512E3" w:rsidRDefault="008512E3" w:rsidP="008512E3">
      <w:pPr>
        <w:spacing w:line="276" w:lineRule="auto"/>
        <w:rPr>
          <w:rFonts w:ascii="Aptos" w:eastAsia="Aptos" w:hAnsi="Aptos" w:cs="Aptos"/>
        </w:rPr>
      </w:pPr>
      <w:r w:rsidRPr="40FBD14E">
        <w:rPr>
          <w:rFonts w:ascii="Aptos" w:eastAsia="Aptos" w:hAnsi="Aptos" w:cs="Aptos"/>
          <w:lang w:val="en-US"/>
        </w:rPr>
        <w:lastRenderedPageBreak/>
        <w:t>Using or adapting existing job-specific, sector-specific or multi-sector ‘green’ standards will reduce proliferation of standards, increase job transferability, save in development time and, provided imports with robust ‘green’ content are chosen, improve sector practice and ultimately secure achievement of net zero targets.</w:t>
      </w:r>
    </w:p>
    <w:p w14:paraId="09CB562E" w14:textId="77777777" w:rsidR="008512E3" w:rsidRDefault="008512E3" w:rsidP="008512E3"/>
    <w:p w14:paraId="58B5E998" w14:textId="77777777" w:rsidR="008512E3" w:rsidRDefault="008512E3" w:rsidP="008512E3"/>
    <w:p w14:paraId="7E4647D7" w14:textId="77777777" w:rsidR="00375EB0" w:rsidRDefault="00375EB0"/>
    <w:sectPr w:rsidR="00375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71AD0"/>
    <w:multiLevelType w:val="hybridMultilevel"/>
    <w:tmpl w:val="87FC7234"/>
    <w:lvl w:ilvl="0" w:tplc="BC0227AA">
      <w:start w:val="1"/>
      <w:numFmt w:val="bullet"/>
      <w:lvlText w:val="·"/>
      <w:lvlJc w:val="left"/>
      <w:pPr>
        <w:ind w:left="720" w:hanging="360"/>
      </w:pPr>
      <w:rPr>
        <w:rFonts w:ascii="Symbol" w:hAnsi="Symbol" w:hint="default"/>
      </w:rPr>
    </w:lvl>
    <w:lvl w:ilvl="1" w:tplc="0E1A77EC">
      <w:start w:val="1"/>
      <w:numFmt w:val="bullet"/>
      <w:lvlText w:val="o"/>
      <w:lvlJc w:val="left"/>
      <w:pPr>
        <w:ind w:left="1440" w:hanging="360"/>
      </w:pPr>
      <w:rPr>
        <w:rFonts w:ascii="Courier New" w:hAnsi="Courier New" w:hint="default"/>
      </w:rPr>
    </w:lvl>
    <w:lvl w:ilvl="2" w:tplc="FCF850A2">
      <w:start w:val="1"/>
      <w:numFmt w:val="bullet"/>
      <w:lvlText w:val=""/>
      <w:lvlJc w:val="left"/>
      <w:pPr>
        <w:ind w:left="2160" w:hanging="360"/>
      </w:pPr>
      <w:rPr>
        <w:rFonts w:ascii="Wingdings" w:hAnsi="Wingdings" w:hint="default"/>
      </w:rPr>
    </w:lvl>
    <w:lvl w:ilvl="3" w:tplc="B178FCF4">
      <w:start w:val="1"/>
      <w:numFmt w:val="bullet"/>
      <w:lvlText w:val=""/>
      <w:lvlJc w:val="left"/>
      <w:pPr>
        <w:ind w:left="2880" w:hanging="360"/>
      </w:pPr>
      <w:rPr>
        <w:rFonts w:ascii="Symbol" w:hAnsi="Symbol" w:hint="default"/>
      </w:rPr>
    </w:lvl>
    <w:lvl w:ilvl="4" w:tplc="B05E8E70">
      <w:start w:val="1"/>
      <w:numFmt w:val="bullet"/>
      <w:lvlText w:val="o"/>
      <w:lvlJc w:val="left"/>
      <w:pPr>
        <w:ind w:left="3600" w:hanging="360"/>
      </w:pPr>
      <w:rPr>
        <w:rFonts w:ascii="Courier New" w:hAnsi="Courier New" w:hint="default"/>
      </w:rPr>
    </w:lvl>
    <w:lvl w:ilvl="5" w:tplc="DC9E4496">
      <w:start w:val="1"/>
      <w:numFmt w:val="bullet"/>
      <w:lvlText w:val=""/>
      <w:lvlJc w:val="left"/>
      <w:pPr>
        <w:ind w:left="4320" w:hanging="360"/>
      </w:pPr>
      <w:rPr>
        <w:rFonts w:ascii="Wingdings" w:hAnsi="Wingdings" w:hint="default"/>
      </w:rPr>
    </w:lvl>
    <w:lvl w:ilvl="6" w:tplc="A230B382">
      <w:start w:val="1"/>
      <w:numFmt w:val="bullet"/>
      <w:lvlText w:val=""/>
      <w:lvlJc w:val="left"/>
      <w:pPr>
        <w:ind w:left="5040" w:hanging="360"/>
      </w:pPr>
      <w:rPr>
        <w:rFonts w:ascii="Symbol" w:hAnsi="Symbol" w:hint="default"/>
      </w:rPr>
    </w:lvl>
    <w:lvl w:ilvl="7" w:tplc="2F6244A6">
      <w:start w:val="1"/>
      <w:numFmt w:val="bullet"/>
      <w:lvlText w:val="o"/>
      <w:lvlJc w:val="left"/>
      <w:pPr>
        <w:ind w:left="5760" w:hanging="360"/>
      </w:pPr>
      <w:rPr>
        <w:rFonts w:ascii="Courier New" w:hAnsi="Courier New" w:hint="default"/>
      </w:rPr>
    </w:lvl>
    <w:lvl w:ilvl="8" w:tplc="EDD463F0">
      <w:start w:val="1"/>
      <w:numFmt w:val="bullet"/>
      <w:lvlText w:val=""/>
      <w:lvlJc w:val="left"/>
      <w:pPr>
        <w:ind w:left="6480" w:hanging="360"/>
      </w:pPr>
      <w:rPr>
        <w:rFonts w:ascii="Wingdings" w:hAnsi="Wingdings" w:hint="default"/>
      </w:rPr>
    </w:lvl>
  </w:abstractNum>
  <w:abstractNum w:abstractNumId="1" w15:restartNumberingAfterBreak="0">
    <w:nsid w:val="51EEBA0E"/>
    <w:multiLevelType w:val="hybridMultilevel"/>
    <w:tmpl w:val="54E8CB2C"/>
    <w:lvl w:ilvl="0" w:tplc="F59CFDB0">
      <w:start w:val="1"/>
      <w:numFmt w:val="bullet"/>
      <w:lvlText w:val="·"/>
      <w:lvlJc w:val="left"/>
      <w:pPr>
        <w:ind w:left="720" w:hanging="360"/>
      </w:pPr>
      <w:rPr>
        <w:rFonts w:ascii="Symbol" w:hAnsi="Symbol" w:hint="default"/>
      </w:rPr>
    </w:lvl>
    <w:lvl w:ilvl="1" w:tplc="DD4EA332">
      <w:start w:val="1"/>
      <w:numFmt w:val="bullet"/>
      <w:lvlText w:val="o"/>
      <w:lvlJc w:val="left"/>
      <w:pPr>
        <w:ind w:left="1440" w:hanging="360"/>
      </w:pPr>
      <w:rPr>
        <w:rFonts w:ascii="Courier New" w:hAnsi="Courier New" w:hint="default"/>
      </w:rPr>
    </w:lvl>
    <w:lvl w:ilvl="2" w:tplc="1D1AC4B8">
      <w:start w:val="1"/>
      <w:numFmt w:val="bullet"/>
      <w:lvlText w:val=""/>
      <w:lvlJc w:val="left"/>
      <w:pPr>
        <w:ind w:left="2160" w:hanging="360"/>
      </w:pPr>
      <w:rPr>
        <w:rFonts w:ascii="Wingdings" w:hAnsi="Wingdings" w:hint="default"/>
      </w:rPr>
    </w:lvl>
    <w:lvl w:ilvl="3" w:tplc="5DFC082A">
      <w:start w:val="1"/>
      <w:numFmt w:val="bullet"/>
      <w:lvlText w:val=""/>
      <w:lvlJc w:val="left"/>
      <w:pPr>
        <w:ind w:left="2880" w:hanging="360"/>
      </w:pPr>
      <w:rPr>
        <w:rFonts w:ascii="Symbol" w:hAnsi="Symbol" w:hint="default"/>
      </w:rPr>
    </w:lvl>
    <w:lvl w:ilvl="4" w:tplc="9FEA7200">
      <w:start w:val="1"/>
      <w:numFmt w:val="bullet"/>
      <w:lvlText w:val="o"/>
      <w:lvlJc w:val="left"/>
      <w:pPr>
        <w:ind w:left="3600" w:hanging="360"/>
      </w:pPr>
      <w:rPr>
        <w:rFonts w:ascii="Courier New" w:hAnsi="Courier New" w:hint="default"/>
      </w:rPr>
    </w:lvl>
    <w:lvl w:ilvl="5" w:tplc="D200BFBE">
      <w:start w:val="1"/>
      <w:numFmt w:val="bullet"/>
      <w:lvlText w:val=""/>
      <w:lvlJc w:val="left"/>
      <w:pPr>
        <w:ind w:left="4320" w:hanging="360"/>
      </w:pPr>
      <w:rPr>
        <w:rFonts w:ascii="Wingdings" w:hAnsi="Wingdings" w:hint="default"/>
      </w:rPr>
    </w:lvl>
    <w:lvl w:ilvl="6" w:tplc="5EC41F7C">
      <w:start w:val="1"/>
      <w:numFmt w:val="bullet"/>
      <w:lvlText w:val=""/>
      <w:lvlJc w:val="left"/>
      <w:pPr>
        <w:ind w:left="5040" w:hanging="360"/>
      </w:pPr>
      <w:rPr>
        <w:rFonts w:ascii="Symbol" w:hAnsi="Symbol" w:hint="default"/>
      </w:rPr>
    </w:lvl>
    <w:lvl w:ilvl="7" w:tplc="4EFC9030">
      <w:start w:val="1"/>
      <w:numFmt w:val="bullet"/>
      <w:lvlText w:val="o"/>
      <w:lvlJc w:val="left"/>
      <w:pPr>
        <w:ind w:left="5760" w:hanging="360"/>
      </w:pPr>
      <w:rPr>
        <w:rFonts w:ascii="Courier New" w:hAnsi="Courier New" w:hint="default"/>
      </w:rPr>
    </w:lvl>
    <w:lvl w:ilvl="8" w:tplc="2116B232">
      <w:start w:val="1"/>
      <w:numFmt w:val="bullet"/>
      <w:lvlText w:val=""/>
      <w:lvlJc w:val="left"/>
      <w:pPr>
        <w:ind w:left="6480" w:hanging="360"/>
      </w:pPr>
      <w:rPr>
        <w:rFonts w:ascii="Wingdings" w:hAnsi="Wingdings" w:hint="default"/>
      </w:rPr>
    </w:lvl>
  </w:abstractNum>
  <w:abstractNum w:abstractNumId="2" w15:restartNumberingAfterBreak="0">
    <w:nsid w:val="5D5B2ACF"/>
    <w:multiLevelType w:val="hybridMultilevel"/>
    <w:tmpl w:val="EA2C4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367E9E"/>
    <w:multiLevelType w:val="hybridMultilevel"/>
    <w:tmpl w:val="A1B0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708D7"/>
    <w:multiLevelType w:val="hybridMultilevel"/>
    <w:tmpl w:val="87820F9A"/>
    <w:lvl w:ilvl="0" w:tplc="C500213A">
      <w:start w:val="1"/>
      <w:numFmt w:val="bullet"/>
      <w:lvlText w:val="·"/>
      <w:lvlJc w:val="left"/>
      <w:pPr>
        <w:ind w:left="720" w:hanging="360"/>
      </w:pPr>
      <w:rPr>
        <w:rFonts w:ascii="Symbol" w:hAnsi="Symbol" w:hint="default"/>
      </w:rPr>
    </w:lvl>
    <w:lvl w:ilvl="1" w:tplc="1F686138">
      <w:start w:val="1"/>
      <w:numFmt w:val="bullet"/>
      <w:lvlText w:val="o"/>
      <w:lvlJc w:val="left"/>
      <w:pPr>
        <w:ind w:left="1440" w:hanging="360"/>
      </w:pPr>
      <w:rPr>
        <w:rFonts w:ascii="Courier New" w:hAnsi="Courier New" w:hint="default"/>
      </w:rPr>
    </w:lvl>
    <w:lvl w:ilvl="2" w:tplc="386CFA10">
      <w:start w:val="1"/>
      <w:numFmt w:val="bullet"/>
      <w:lvlText w:val=""/>
      <w:lvlJc w:val="left"/>
      <w:pPr>
        <w:ind w:left="2160" w:hanging="360"/>
      </w:pPr>
      <w:rPr>
        <w:rFonts w:ascii="Wingdings" w:hAnsi="Wingdings" w:hint="default"/>
      </w:rPr>
    </w:lvl>
    <w:lvl w:ilvl="3" w:tplc="CB425D84">
      <w:start w:val="1"/>
      <w:numFmt w:val="bullet"/>
      <w:lvlText w:val=""/>
      <w:lvlJc w:val="left"/>
      <w:pPr>
        <w:ind w:left="2880" w:hanging="360"/>
      </w:pPr>
      <w:rPr>
        <w:rFonts w:ascii="Symbol" w:hAnsi="Symbol" w:hint="default"/>
      </w:rPr>
    </w:lvl>
    <w:lvl w:ilvl="4" w:tplc="0F4E9FA0">
      <w:start w:val="1"/>
      <w:numFmt w:val="bullet"/>
      <w:lvlText w:val="o"/>
      <w:lvlJc w:val="left"/>
      <w:pPr>
        <w:ind w:left="3600" w:hanging="360"/>
      </w:pPr>
      <w:rPr>
        <w:rFonts w:ascii="Courier New" w:hAnsi="Courier New" w:hint="default"/>
      </w:rPr>
    </w:lvl>
    <w:lvl w:ilvl="5" w:tplc="256ACE06">
      <w:start w:val="1"/>
      <w:numFmt w:val="bullet"/>
      <w:lvlText w:val=""/>
      <w:lvlJc w:val="left"/>
      <w:pPr>
        <w:ind w:left="4320" w:hanging="360"/>
      </w:pPr>
      <w:rPr>
        <w:rFonts w:ascii="Wingdings" w:hAnsi="Wingdings" w:hint="default"/>
      </w:rPr>
    </w:lvl>
    <w:lvl w:ilvl="6" w:tplc="713C77D2">
      <w:start w:val="1"/>
      <w:numFmt w:val="bullet"/>
      <w:lvlText w:val=""/>
      <w:lvlJc w:val="left"/>
      <w:pPr>
        <w:ind w:left="5040" w:hanging="360"/>
      </w:pPr>
      <w:rPr>
        <w:rFonts w:ascii="Symbol" w:hAnsi="Symbol" w:hint="default"/>
      </w:rPr>
    </w:lvl>
    <w:lvl w:ilvl="7" w:tplc="3C20E140">
      <w:start w:val="1"/>
      <w:numFmt w:val="bullet"/>
      <w:lvlText w:val="o"/>
      <w:lvlJc w:val="left"/>
      <w:pPr>
        <w:ind w:left="5760" w:hanging="360"/>
      </w:pPr>
      <w:rPr>
        <w:rFonts w:ascii="Courier New" w:hAnsi="Courier New" w:hint="default"/>
      </w:rPr>
    </w:lvl>
    <w:lvl w:ilvl="8" w:tplc="113C7928">
      <w:start w:val="1"/>
      <w:numFmt w:val="bullet"/>
      <w:lvlText w:val=""/>
      <w:lvlJc w:val="left"/>
      <w:pPr>
        <w:ind w:left="6480" w:hanging="360"/>
      </w:pPr>
      <w:rPr>
        <w:rFonts w:ascii="Wingdings" w:hAnsi="Wingdings" w:hint="default"/>
      </w:rPr>
    </w:lvl>
  </w:abstractNum>
  <w:abstractNum w:abstractNumId="5" w15:restartNumberingAfterBreak="0">
    <w:nsid w:val="7EA96C3F"/>
    <w:multiLevelType w:val="hybridMultilevel"/>
    <w:tmpl w:val="F056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933853">
    <w:abstractNumId w:val="0"/>
  </w:num>
  <w:num w:numId="2" w16cid:durableId="1461144913">
    <w:abstractNumId w:val="1"/>
  </w:num>
  <w:num w:numId="3" w16cid:durableId="1999846486">
    <w:abstractNumId w:val="4"/>
  </w:num>
  <w:num w:numId="4" w16cid:durableId="430009069">
    <w:abstractNumId w:val="2"/>
  </w:num>
  <w:num w:numId="5" w16cid:durableId="241065426">
    <w:abstractNumId w:val="5"/>
  </w:num>
  <w:num w:numId="6" w16cid:durableId="2004891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E3"/>
    <w:rsid w:val="00123A83"/>
    <w:rsid w:val="00375EB0"/>
    <w:rsid w:val="008347F6"/>
    <w:rsid w:val="008512E3"/>
    <w:rsid w:val="00DB3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EFA9"/>
  <w15:chartTrackingRefBased/>
  <w15:docId w15:val="{1206F9EE-10D5-4C2D-89BA-3EEBCB26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2E3"/>
  </w:style>
  <w:style w:type="paragraph" w:styleId="Heading1">
    <w:name w:val="heading 1"/>
    <w:basedOn w:val="Normal"/>
    <w:next w:val="Normal"/>
    <w:link w:val="Heading1Char"/>
    <w:uiPriority w:val="9"/>
    <w:qFormat/>
    <w:rsid w:val="00851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2E3"/>
    <w:rPr>
      <w:rFonts w:eastAsiaTheme="majorEastAsia" w:cstheme="majorBidi"/>
      <w:color w:val="272727" w:themeColor="text1" w:themeTint="D8"/>
    </w:rPr>
  </w:style>
  <w:style w:type="paragraph" w:styleId="Title">
    <w:name w:val="Title"/>
    <w:basedOn w:val="Normal"/>
    <w:next w:val="Normal"/>
    <w:link w:val="TitleChar"/>
    <w:uiPriority w:val="10"/>
    <w:qFormat/>
    <w:rsid w:val="00851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2E3"/>
    <w:pPr>
      <w:spacing w:before="160"/>
      <w:jc w:val="center"/>
    </w:pPr>
    <w:rPr>
      <w:i/>
      <w:iCs/>
      <w:color w:val="404040" w:themeColor="text1" w:themeTint="BF"/>
    </w:rPr>
  </w:style>
  <w:style w:type="character" w:customStyle="1" w:styleId="QuoteChar">
    <w:name w:val="Quote Char"/>
    <w:basedOn w:val="DefaultParagraphFont"/>
    <w:link w:val="Quote"/>
    <w:uiPriority w:val="29"/>
    <w:rsid w:val="008512E3"/>
    <w:rPr>
      <w:i/>
      <w:iCs/>
      <w:color w:val="404040" w:themeColor="text1" w:themeTint="BF"/>
    </w:rPr>
  </w:style>
  <w:style w:type="paragraph" w:styleId="ListParagraph">
    <w:name w:val="List Paragraph"/>
    <w:basedOn w:val="Normal"/>
    <w:uiPriority w:val="34"/>
    <w:qFormat/>
    <w:rsid w:val="008512E3"/>
    <w:pPr>
      <w:ind w:left="720"/>
      <w:contextualSpacing/>
    </w:pPr>
  </w:style>
  <w:style w:type="character" w:styleId="IntenseEmphasis">
    <w:name w:val="Intense Emphasis"/>
    <w:basedOn w:val="DefaultParagraphFont"/>
    <w:uiPriority w:val="21"/>
    <w:qFormat/>
    <w:rsid w:val="008512E3"/>
    <w:rPr>
      <w:i/>
      <w:iCs/>
      <w:color w:val="0F4761" w:themeColor="accent1" w:themeShade="BF"/>
    </w:rPr>
  </w:style>
  <w:style w:type="paragraph" w:styleId="IntenseQuote">
    <w:name w:val="Intense Quote"/>
    <w:basedOn w:val="Normal"/>
    <w:next w:val="Normal"/>
    <w:link w:val="IntenseQuoteChar"/>
    <w:uiPriority w:val="30"/>
    <w:qFormat/>
    <w:rsid w:val="00851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2E3"/>
    <w:rPr>
      <w:i/>
      <w:iCs/>
      <w:color w:val="0F4761" w:themeColor="accent1" w:themeShade="BF"/>
    </w:rPr>
  </w:style>
  <w:style w:type="character" w:styleId="IntenseReference">
    <w:name w:val="Intense Reference"/>
    <w:basedOn w:val="DefaultParagraphFont"/>
    <w:uiPriority w:val="32"/>
    <w:qFormat/>
    <w:rsid w:val="008512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Riley</dc:creator>
  <cp:keywords/>
  <dc:description/>
  <cp:lastModifiedBy>Jude Riley</cp:lastModifiedBy>
  <cp:revision>1</cp:revision>
  <dcterms:created xsi:type="dcterms:W3CDTF">2025-05-21T12:50:00Z</dcterms:created>
  <dcterms:modified xsi:type="dcterms:W3CDTF">2025-05-21T12:51:00Z</dcterms:modified>
</cp:coreProperties>
</file>